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a:srcRect/>
                    <a:stretch>
                      <a:fillRect/>
                    </a:stretch>
                  </pic:blipFill>
                  <pic:spPr bwMode="auto">
                    <a:xfrm>
                      <a:off x="0" y="0"/>
                      <a:ext cx="770255" cy="914400"/>
                    </a:xfrm>
                    <a:prstGeom prst="rect">
                      <a:avLst/>
                    </a:prstGeom>
                    <a:noFill/>
                  </pic:spPr>
                </pic:pic>
              </a:graphicData>
            </a:graphic>
          </wp:anchor>
        </w:drawing>
      </w:r>
    </w:p>
    <w:p w:rsidR="0054785A" w:rsidRDefault="0054785A" w:rsidP="0025416A">
      <w:pPr>
        <w:keepNext/>
        <w:jc w:val="right"/>
        <w:outlineLvl w:val="0"/>
        <w:rPr>
          <w:rFonts w:ascii="Times New Roman" w:eastAsia="Times New Roman" w:hAnsi="Times New Roman" w:cs="Times New Roman"/>
          <w:sz w:val="28"/>
          <w:szCs w:val="28"/>
          <w:lang w:eastAsia="ru-RU"/>
        </w:rPr>
      </w:pPr>
    </w:p>
    <w:p w:rsidR="0054785A" w:rsidRPr="00E257FC" w:rsidRDefault="0054785A" w:rsidP="0025416A">
      <w:pPr>
        <w:keepNext/>
        <w:jc w:val="right"/>
        <w:outlineLvl w:val="0"/>
        <w:rPr>
          <w:rFonts w:ascii="Times New Roman" w:eastAsia="Times New Roman" w:hAnsi="Times New Roman" w:cs="Times New Roman"/>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rsidR="0025416A" w:rsidRPr="00E257FC" w:rsidRDefault="0025416A" w:rsidP="0025416A">
      <w:pPr>
        <w:jc w:val="center"/>
        <w:rPr>
          <w:rFonts w:ascii="Times New Roman" w:hAnsi="Times New Roman" w:cs="Times New Roman"/>
          <w:sz w:val="28"/>
          <w:szCs w:val="28"/>
        </w:rPr>
      </w:pPr>
    </w:p>
    <w:p w:rsidR="0025416A" w:rsidRPr="00E257FC" w:rsidRDefault="00D55951" w:rsidP="0025416A">
      <w:pPr>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А С П О Р Я Ж Е Н И Е</w:t>
      </w:r>
    </w:p>
    <w:p w:rsidR="0025416A" w:rsidRPr="00E257FC" w:rsidRDefault="0025416A" w:rsidP="0025416A">
      <w:pPr>
        <w:jc w:val="both"/>
        <w:rPr>
          <w:rFonts w:ascii="Times New Roman" w:hAnsi="Times New Roman" w:cs="Times New Roman"/>
          <w:sz w:val="28"/>
          <w:szCs w:val="28"/>
        </w:rPr>
      </w:pPr>
    </w:p>
    <w:p w:rsidR="0025416A" w:rsidRPr="00000893"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D55951">
        <w:rPr>
          <w:rFonts w:ascii="Times New Roman" w:hAnsi="Times New Roman" w:cs="Times New Roman"/>
          <w:sz w:val="28"/>
          <w:szCs w:val="28"/>
        </w:rPr>
        <w:t>24.11.2016</w:t>
      </w:r>
      <w:r w:rsidR="00000893">
        <w:rPr>
          <w:rFonts w:ascii="Times New Roman" w:hAnsi="Times New Roman" w:cs="Times New Roman"/>
          <w:sz w:val="28"/>
          <w:szCs w:val="28"/>
        </w:rPr>
        <w:t xml:space="preserve"> № </w:t>
      </w:r>
      <w:r w:rsidR="00D55951">
        <w:rPr>
          <w:rFonts w:ascii="Times New Roman" w:hAnsi="Times New Roman" w:cs="Times New Roman"/>
          <w:sz w:val="28"/>
          <w:szCs w:val="28"/>
        </w:rPr>
        <w:t>525</w:t>
      </w:r>
    </w:p>
    <w:p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rsidR="0025416A" w:rsidRPr="00000893" w:rsidRDefault="0025416A" w:rsidP="0025416A">
      <w:pPr>
        <w:ind w:right="12"/>
        <w:jc w:val="both"/>
        <w:rPr>
          <w:rFonts w:ascii="Times New Roman" w:hAnsi="Times New Roman" w:cs="Times New Roman"/>
          <w:sz w:val="28"/>
          <w:szCs w:val="28"/>
        </w:rPr>
      </w:pPr>
    </w:p>
    <w:p w:rsidR="00000893" w:rsidRPr="00000893" w:rsidRDefault="00000893" w:rsidP="00000893">
      <w:pPr>
        <w:ind w:right="4535"/>
        <w:jc w:val="both"/>
        <w:rPr>
          <w:rFonts w:ascii="Times New Roman" w:hAnsi="Times New Roman" w:cs="Times New Roman"/>
          <w:b/>
          <w:sz w:val="28"/>
          <w:szCs w:val="28"/>
        </w:rPr>
      </w:pPr>
      <w:r w:rsidRPr="00000893">
        <w:rPr>
          <w:rFonts w:ascii="Times New Roman" w:hAnsi="Times New Roman" w:cs="Times New Roman"/>
          <w:b/>
          <w:sz w:val="28"/>
          <w:szCs w:val="28"/>
        </w:rPr>
        <w:t>Об утверждении Порядка применения целевых статей бюджетной классификации Российской Федерации в части, относящейся к бюджету Трубичинского сельского поселения</w:t>
      </w:r>
    </w:p>
    <w:p w:rsidR="0025416A" w:rsidRPr="00000893" w:rsidRDefault="0025416A" w:rsidP="00000893">
      <w:pPr>
        <w:pStyle w:val="ConsPlusNormal"/>
        <w:ind w:right="5102"/>
        <w:jc w:val="both"/>
        <w:rPr>
          <w:rFonts w:ascii="Times New Roman" w:hAnsi="Times New Roman" w:cs="Times New Roman"/>
          <w:sz w:val="28"/>
          <w:szCs w:val="28"/>
        </w:rPr>
      </w:pPr>
    </w:p>
    <w:p w:rsidR="006150D4" w:rsidRDefault="006150D4" w:rsidP="006150D4">
      <w:pPr>
        <w:ind w:firstLine="709"/>
        <w:jc w:val="both"/>
        <w:rPr>
          <w:rFonts w:ascii="Times New Roman" w:hAnsi="Times New Roman" w:cs="Times New Roman"/>
          <w:sz w:val="28"/>
          <w:szCs w:val="28"/>
        </w:rPr>
      </w:pPr>
      <w:r w:rsidRPr="00000893">
        <w:rPr>
          <w:rFonts w:ascii="Times New Roman" w:hAnsi="Times New Roman" w:cs="Times New Roman"/>
          <w:sz w:val="28"/>
          <w:szCs w:val="28"/>
        </w:rPr>
        <w:t>В соответствии с Приказом Министерства финансов Российской Федерации № 65н от 01 июля 2013 года «Об утверждении указаний о порядке применения бюджетной классификации Российской Федерации», Бюджетным кодексом Российской Федерации:</w:t>
      </w:r>
    </w:p>
    <w:p w:rsidR="008510AE" w:rsidRDefault="008510AE" w:rsidP="006150D4">
      <w:pPr>
        <w:ind w:firstLine="709"/>
        <w:jc w:val="both"/>
        <w:rPr>
          <w:rFonts w:ascii="Times New Roman" w:hAnsi="Times New Roman" w:cs="Times New Roman"/>
          <w:sz w:val="28"/>
          <w:szCs w:val="28"/>
        </w:rPr>
      </w:pPr>
    </w:p>
    <w:p w:rsidR="008510AE" w:rsidRDefault="00000893" w:rsidP="008510AE">
      <w:pPr>
        <w:ind w:firstLine="709"/>
        <w:jc w:val="both"/>
        <w:rPr>
          <w:rFonts w:ascii="Times New Roman" w:hAnsi="Times New Roman" w:cs="Times New Roman"/>
          <w:sz w:val="28"/>
          <w:szCs w:val="28"/>
        </w:rPr>
      </w:pPr>
      <w:r w:rsidRPr="00000893">
        <w:rPr>
          <w:rFonts w:ascii="Times New Roman" w:hAnsi="Times New Roman" w:cs="Times New Roman"/>
          <w:sz w:val="28"/>
          <w:szCs w:val="28"/>
        </w:rPr>
        <w:t xml:space="preserve">1. Утвердить прилагаемый Порядок применения бюджетной классификации Российской Федерации в части, относящейся к бюджету </w:t>
      </w:r>
      <w:r>
        <w:rPr>
          <w:rFonts w:ascii="Times New Roman" w:hAnsi="Times New Roman" w:cs="Times New Roman"/>
          <w:sz w:val="28"/>
          <w:szCs w:val="28"/>
        </w:rPr>
        <w:t>Трубичинского сельского</w:t>
      </w:r>
      <w:r w:rsidRPr="00000893">
        <w:rPr>
          <w:rFonts w:ascii="Times New Roman" w:hAnsi="Times New Roman" w:cs="Times New Roman"/>
          <w:sz w:val="28"/>
          <w:szCs w:val="28"/>
        </w:rPr>
        <w:t xml:space="preserve"> поселения.</w:t>
      </w:r>
    </w:p>
    <w:p w:rsidR="008510AE" w:rsidRDefault="00D55951" w:rsidP="008510AE">
      <w:pPr>
        <w:ind w:firstLine="709"/>
        <w:jc w:val="both"/>
        <w:rPr>
          <w:rFonts w:ascii="Times New Roman" w:hAnsi="Times New Roman" w:cs="Times New Roman"/>
          <w:b/>
          <w:sz w:val="28"/>
          <w:szCs w:val="28"/>
        </w:rPr>
      </w:pPr>
      <w:r>
        <w:rPr>
          <w:rFonts w:ascii="Times New Roman" w:hAnsi="Times New Roman" w:cs="Times New Roman"/>
          <w:sz w:val="28"/>
          <w:szCs w:val="28"/>
        </w:rPr>
        <w:t>2</w:t>
      </w:r>
      <w:r w:rsidR="008510AE" w:rsidRPr="008510AE">
        <w:rPr>
          <w:rFonts w:ascii="Times New Roman" w:hAnsi="Times New Roman" w:cs="Times New Roman"/>
          <w:sz w:val="28"/>
          <w:szCs w:val="28"/>
        </w:rPr>
        <w:t xml:space="preserve">. </w:t>
      </w:r>
      <w:r w:rsidR="00000893" w:rsidRPr="008510AE">
        <w:rPr>
          <w:rFonts w:ascii="Times New Roman" w:hAnsi="Times New Roman" w:cs="Times New Roman"/>
          <w:sz w:val="28"/>
          <w:szCs w:val="28"/>
        </w:rPr>
        <w:t xml:space="preserve">Настоящее </w:t>
      </w:r>
      <w:r>
        <w:rPr>
          <w:rFonts w:ascii="Times New Roman" w:hAnsi="Times New Roman" w:cs="Times New Roman"/>
          <w:sz w:val="28"/>
          <w:szCs w:val="28"/>
        </w:rPr>
        <w:t xml:space="preserve">распоряжение </w:t>
      </w:r>
      <w:r w:rsidR="00000893" w:rsidRPr="00000893">
        <w:rPr>
          <w:rFonts w:ascii="Times New Roman" w:hAnsi="Times New Roman" w:cs="Times New Roman"/>
          <w:sz w:val="28"/>
          <w:szCs w:val="28"/>
        </w:rPr>
        <w:t>вступает в силу с 01 января 2017 года.</w:t>
      </w:r>
    </w:p>
    <w:p w:rsidR="0025416A" w:rsidRPr="008510AE" w:rsidRDefault="00D55951" w:rsidP="008510AE">
      <w:pPr>
        <w:ind w:firstLine="709"/>
        <w:jc w:val="both"/>
        <w:rPr>
          <w:rFonts w:ascii="Times New Roman" w:hAnsi="Times New Roman" w:cs="Times New Roman"/>
          <w:b/>
          <w:sz w:val="28"/>
          <w:szCs w:val="28"/>
        </w:rPr>
      </w:pPr>
      <w:r>
        <w:rPr>
          <w:rFonts w:ascii="Times New Roman" w:hAnsi="Times New Roman" w:cs="Times New Roman"/>
          <w:sz w:val="28"/>
          <w:szCs w:val="28"/>
        </w:rPr>
        <w:t>3</w:t>
      </w:r>
      <w:r w:rsidR="006150D4" w:rsidRPr="00000893">
        <w:rPr>
          <w:rFonts w:ascii="Times New Roman" w:hAnsi="Times New Roman" w:cs="Times New Roman"/>
          <w:sz w:val="28"/>
          <w:szCs w:val="28"/>
        </w:rPr>
        <w:t xml:space="preserve">.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 по адресу: </w:t>
      </w:r>
      <w:hyperlink r:id="rId7" w:history="1">
        <w:r w:rsidR="006150D4" w:rsidRPr="00000893">
          <w:rPr>
            <w:rStyle w:val="a6"/>
            <w:rFonts w:ascii="Times New Roman" w:hAnsi="Times New Roman" w:cs="Times New Roman"/>
            <w:sz w:val="28"/>
            <w:szCs w:val="28"/>
            <w:lang w:val="en-US"/>
          </w:rPr>
          <w:t>www</w:t>
        </w:r>
        <w:r w:rsidR="006150D4" w:rsidRPr="00000893">
          <w:rPr>
            <w:rStyle w:val="a6"/>
            <w:rFonts w:ascii="Times New Roman" w:hAnsi="Times New Roman" w:cs="Times New Roman"/>
            <w:sz w:val="28"/>
            <w:szCs w:val="28"/>
          </w:rPr>
          <w:t>.трубичино.рф</w:t>
        </w:r>
      </w:hyperlink>
      <w:r w:rsidR="006150D4" w:rsidRPr="00000893">
        <w:rPr>
          <w:rFonts w:ascii="Times New Roman" w:hAnsi="Times New Roman" w:cs="Times New Roman"/>
          <w:sz w:val="28"/>
          <w:szCs w:val="28"/>
        </w:rPr>
        <w:t>.</w:t>
      </w:r>
    </w:p>
    <w:p w:rsidR="0025416A" w:rsidRPr="00000893" w:rsidRDefault="0025416A" w:rsidP="0025416A">
      <w:pPr>
        <w:jc w:val="both"/>
        <w:rPr>
          <w:rFonts w:ascii="Times New Roman" w:hAnsi="Times New Roman" w:cs="Times New Roman"/>
          <w:sz w:val="28"/>
          <w:szCs w:val="28"/>
        </w:rPr>
      </w:pPr>
    </w:p>
    <w:p w:rsidR="006150D4" w:rsidRPr="008510AE"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Глава сельского поселения    С.В. Анкудинов</w:t>
      </w:r>
    </w:p>
    <w:p w:rsidR="006150D4" w:rsidRPr="00000893" w:rsidRDefault="006150D4" w:rsidP="00000893">
      <w:pPr>
        <w:ind w:firstLine="4800"/>
        <w:jc w:val="right"/>
        <w:rPr>
          <w:rFonts w:ascii="Times New Roman" w:hAnsi="Times New Roman" w:cs="Times New Roman"/>
          <w:bCs/>
          <w:sz w:val="24"/>
          <w:szCs w:val="24"/>
        </w:rPr>
      </w:pPr>
      <w:bookmarkStart w:id="0" w:name="_GoBack"/>
      <w:r w:rsidRPr="00000893">
        <w:rPr>
          <w:rFonts w:ascii="Times New Roman" w:hAnsi="Times New Roman" w:cs="Times New Roman"/>
          <w:bCs/>
          <w:sz w:val="24"/>
          <w:szCs w:val="24"/>
        </w:rPr>
        <w:t>Приложение 1</w:t>
      </w:r>
    </w:p>
    <w:bookmarkEnd w:id="0"/>
    <w:p w:rsidR="00000893" w:rsidRDefault="006150D4" w:rsidP="00000893">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применениябюджетной классификацииРоссийской Федерации в части,</w:t>
      </w:r>
    </w:p>
    <w:p w:rsidR="006150D4" w:rsidRPr="00000893" w:rsidRDefault="006150D4" w:rsidP="00000893">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sidR="00000893">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rsidR="00000893" w:rsidRDefault="00000893" w:rsidP="00000893">
      <w:pPr>
        <w:jc w:val="center"/>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применения целевых статей бюджетной классификации Российской Федерации в части, относящейся к бюджету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lang w:val="en-US"/>
        </w:rPr>
        <w:lastRenderedPageBreak/>
        <w:t>I</w:t>
      </w:r>
      <w:r w:rsidRPr="00000893">
        <w:rPr>
          <w:rFonts w:ascii="Times New Roman" w:hAnsi="Times New Roman" w:cs="Times New Roman"/>
          <w:b/>
          <w:sz w:val="24"/>
          <w:szCs w:val="24"/>
        </w:rPr>
        <w:t>. Общие положения</w:t>
      </w:r>
    </w:p>
    <w:p w:rsidR="00000893" w:rsidRPr="00000893" w:rsidRDefault="00000893" w:rsidP="00000893">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rsidR="00000893" w:rsidRPr="00000893" w:rsidRDefault="00000893" w:rsidP="00000893">
      <w:pPr>
        <w:jc w:val="center"/>
        <w:rPr>
          <w:rFonts w:ascii="Times New Roman" w:hAnsi="Times New Roman" w:cs="Times New Roman"/>
          <w:sz w:val="24"/>
          <w:szCs w:val="24"/>
        </w:rPr>
      </w:pPr>
      <w:r w:rsidRPr="00000893">
        <w:rPr>
          <w:rFonts w:ascii="Times New Roman" w:hAnsi="Times New Roman" w:cs="Times New Roman"/>
          <w:b/>
          <w:sz w:val="24"/>
          <w:szCs w:val="24"/>
        </w:rPr>
        <w:t>администраторами которых являются органы местного самоуправления</w:t>
      </w:r>
    </w:p>
    <w:p w:rsidR="00000893" w:rsidRPr="00000893" w:rsidRDefault="00000893" w:rsidP="00000893">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rsidR="00000893" w:rsidRPr="00000893" w:rsidRDefault="00000893" w:rsidP="00000893">
      <w:pPr>
        <w:ind w:firstLine="426"/>
        <w:jc w:val="both"/>
        <w:rPr>
          <w:rFonts w:ascii="Times New Roman" w:hAnsi="Times New Roman" w:cs="Times New Roman"/>
          <w:sz w:val="24"/>
          <w:szCs w:val="24"/>
        </w:rPr>
      </w:pPr>
      <w:r w:rsidRPr="00000893">
        <w:rPr>
          <w:rFonts w:ascii="Times New Roman" w:hAnsi="Times New Roman" w:cs="Times New Roman"/>
          <w:sz w:val="24"/>
          <w:szCs w:val="24"/>
        </w:rPr>
        <w:t>Перечень целевых статей в части, относящейся к бюджету сельского поселения, приведены в приложении 1 к настоящему Порядку.</w:t>
      </w:r>
    </w:p>
    <w:p w:rsidR="00000893" w:rsidRPr="00000893" w:rsidRDefault="00000893" w:rsidP="00000893">
      <w:pPr>
        <w:ind w:firstLine="426"/>
        <w:jc w:val="both"/>
        <w:rPr>
          <w:rFonts w:ascii="Times New Roman" w:hAnsi="Times New Roman" w:cs="Times New Roman"/>
          <w:sz w:val="24"/>
          <w:szCs w:val="24"/>
        </w:rPr>
      </w:pPr>
      <w:r w:rsidRPr="00000893">
        <w:rPr>
          <w:rFonts w:ascii="Times New Roman" w:hAnsi="Times New Roman" w:cs="Times New Roman"/>
          <w:sz w:val="24"/>
          <w:szCs w:val="24"/>
        </w:rPr>
        <w:t>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2 к настоящему Порядку.</w:t>
      </w:r>
    </w:p>
    <w:p w:rsidR="00000893" w:rsidRPr="00000893" w:rsidRDefault="00000893" w:rsidP="00000893">
      <w:pPr>
        <w:jc w:val="center"/>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Cs/>
          <w:sz w:val="24"/>
          <w:szCs w:val="24"/>
        </w:rPr>
      </w:pP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Приложение 1</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 целевых статей бюджетной классификации</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rPr>
          <w:rFonts w:ascii="Times New Roman" w:hAnsi="Times New Roman" w:cs="Times New Roman"/>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rsidR="00000893" w:rsidRPr="00000893" w:rsidRDefault="00000893" w:rsidP="00000893">
      <w:pPr>
        <w:rPr>
          <w:rFonts w:ascii="Times New Roman" w:hAnsi="Times New Roman" w:cs="Times New Roman"/>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015"/>
        <w:gridCol w:w="8364"/>
      </w:tblGrid>
      <w:tr w:rsidR="00000893" w:rsidRPr="00000893" w:rsidTr="006D03BF">
        <w:trPr>
          <w:trHeight w:val="384"/>
        </w:trPr>
        <w:tc>
          <w:tcPr>
            <w:tcW w:w="828" w:type="dxa"/>
          </w:tcPr>
          <w:p w:rsidR="00000893" w:rsidRPr="00000893" w:rsidRDefault="00000893" w:rsidP="00000893">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1015"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8364"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Муниципальная целевая программа «Устойчивое развитие территории Трубичинского сельского поселения на 2016-2018 год»</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bookmarkStart w:id="1" w:name="OLE_LINK66"/>
            <w:bookmarkStart w:id="2" w:name="OLE_LINK67"/>
            <w:r w:rsidRPr="00000893">
              <w:rPr>
                <w:rFonts w:ascii="Times New Roman" w:hAnsi="Times New Roman" w:cs="Times New Roman"/>
                <w:sz w:val="24"/>
                <w:szCs w:val="24"/>
              </w:rPr>
              <w:t>Непрограммные направления расходов</w:t>
            </w:r>
            <w:bookmarkEnd w:id="1"/>
            <w:bookmarkEnd w:id="2"/>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20 2</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20 4</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14010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учреждений</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25 000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25050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25140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25220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средств массовой информации</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82100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bCs/>
                <w:sz w:val="24"/>
                <w:szCs w:val="24"/>
              </w:rPr>
              <w:t>Пенсия за выслугу лет</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93020</w:t>
            </w:r>
          </w:p>
        </w:tc>
        <w:tc>
          <w:tcPr>
            <w:tcW w:w="8364" w:type="dxa"/>
          </w:tcPr>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r w:rsidRPr="00000893">
              <w:rPr>
                <w:rFonts w:ascii="Times New Roman" w:hAnsi="Times New Roman" w:cs="Times New Roman"/>
                <w:sz w:val="24"/>
                <w:szCs w:val="24"/>
              </w:rPr>
              <w:t>5170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формирование муниципальных дорожных фондов</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r w:rsidRPr="00000893">
              <w:rPr>
                <w:rFonts w:ascii="Times New Roman" w:hAnsi="Times New Roman" w:cs="Times New Roman"/>
                <w:sz w:val="24"/>
                <w:szCs w:val="24"/>
              </w:rPr>
              <w:t>5230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поддержку проектов местных инициатив граждан</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r w:rsidRPr="00000893">
              <w:rPr>
                <w:rFonts w:ascii="Times New Roman" w:hAnsi="Times New Roman" w:cs="Times New Roman"/>
                <w:sz w:val="24"/>
                <w:szCs w:val="24"/>
              </w:rPr>
              <w:t>5370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bl>
    <w:p w:rsidR="00000893" w:rsidRPr="00000893" w:rsidRDefault="00000893" w:rsidP="00000893">
      <w:pPr>
        <w:rPr>
          <w:rFonts w:ascii="Times New Roman" w:hAnsi="Times New Roman" w:cs="Times New Roman"/>
          <w:bCs/>
          <w:sz w:val="24"/>
          <w:szCs w:val="24"/>
        </w:rPr>
      </w:pPr>
    </w:p>
    <w:p w:rsidR="00000893" w:rsidRPr="00000893" w:rsidRDefault="00000893" w:rsidP="00000893">
      <w:pPr>
        <w:rPr>
          <w:rFonts w:ascii="Times New Roman" w:hAnsi="Times New Roman" w:cs="Times New Roman"/>
          <w:bCs/>
          <w:sz w:val="24"/>
          <w:szCs w:val="24"/>
        </w:rPr>
      </w:pPr>
    </w:p>
    <w:p w:rsidR="00000893" w:rsidRPr="00000893" w:rsidRDefault="00000893" w:rsidP="00000893">
      <w:pPr>
        <w:jc w:val="right"/>
        <w:rPr>
          <w:rFonts w:ascii="Times New Roman" w:hAnsi="Times New Roman" w:cs="Times New Roman"/>
          <w:bCs/>
          <w:sz w:val="24"/>
          <w:szCs w:val="24"/>
        </w:rPr>
      </w:pPr>
      <w:r>
        <w:rPr>
          <w:rFonts w:ascii="Times New Roman" w:hAnsi="Times New Roman" w:cs="Times New Roman"/>
          <w:bCs/>
          <w:sz w:val="24"/>
          <w:szCs w:val="24"/>
        </w:rPr>
        <w:t>Приложение 2</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jc w:val="center"/>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01 0 00 00000 Муниципальная программа «Устойчивое развитие территории Трубичинского сельского поселения на 2017-2019 годы»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lastRenderedPageBreak/>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2017-2019 годы».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01 0 01 00 00000</w:t>
      </w:r>
      <w:r w:rsidRPr="00000893">
        <w:rPr>
          <w:rFonts w:ascii="Times New Roman" w:hAnsi="Times New Roman" w:cs="Times New Roman"/>
          <w:sz w:val="24"/>
          <w:szCs w:val="24"/>
        </w:rPr>
        <w:t xml:space="preserve"> Муниципальный дорожный фонд</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01 0 02 00 00000</w:t>
      </w:r>
      <w:r w:rsidRPr="00000893">
        <w:rPr>
          <w:rFonts w:ascii="Times New Roman" w:hAnsi="Times New Roman" w:cs="Times New Roman"/>
          <w:sz w:val="24"/>
          <w:szCs w:val="24"/>
        </w:rPr>
        <w:t xml:space="preserve"> Благоустройство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rsidR="00000893" w:rsidRPr="00000893" w:rsidRDefault="00000893" w:rsidP="00000893">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2 00 00000 Расходы на обеспечение функций органов местного самоуправления</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rsidR="00000893" w:rsidRPr="00000893" w:rsidRDefault="00000893" w:rsidP="00000893">
      <w:pPr>
        <w:ind w:firstLine="709"/>
        <w:jc w:val="both"/>
        <w:rPr>
          <w:rFonts w:ascii="Times New Roman" w:hAnsi="Times New Roman" w:cs="Times New Roman"/>
          <w:b/>
          <w:color w:val="339966"/>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000000 Обеспечение деятельности органов местного самоуправления</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 Расходы на обеспечение функций органов местного самоуправления.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rsidR="00000893" w:rsidRPr="00000893" w:rsidRDefault="00000893" w:rsidP="00000893">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rsidR="00000893" w:rsidRPr="00000893" w:rsidRDefault="00000893" w:rsidP="00000893">
      <w:pPr>
        <w:jc w:val="both"/>
        <w:rPr>
          <w:rFonts w:ascii="Times New Roman" w:hAnsi="Times New Roman" w:cs="Times New Roman"/>
          <w:bCs/>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lastRenderedPageBreak/>
        <w:t xml:space="preserve">25050 – </w:t>
      </w:r>
      <w:r w:rsidRPr="00000893">
        <w:rPr>
          <w:rFonts w:ascii="Times New Roman" w:hAnsi="Times New Roman" w:cs="Times New Roman"/>
          <w:sz w:val="24"/>
          <w:szCs w:val="24"/>
        </w:rPr>
        <w:t>Мероприятия в области культуры.</w:t>
      </w:r>
    </w:p>
    <w:p w:rsidR="00000893" w:rsidRPr="00000893" w:rsidRDefault="00000893" w:rsidP="00000893">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rsidR="00000893" w:rsidRPr="00000893" w:rsidRDefault="00000893" w:rsidP="00000893">
      <w:pPr>
        <w:ind w:firstLine="709"/>
        <w:jc w:val="both"/>
        <w:rPr>
          <w:rFonts w:ascii="Times New Roman" w:hAnsi="Times New Roman" w:cs="Times New Roman"/>
          <w:bCs/>
          <w:sz w:val="24"/>
          <w:szCs w:val="24"/>
        </w:rPr>
      </w:pPr>
      <w:proofErr w:type="gramStart"/>
      <w:r w:rsidRPr="00000893">
        <w:rPr>
          <w:rFonts w:ascii="Times New Roman" w:hAnsi="Times New Roman" w:cs="Times New Roman"/>
          <w:b/>
          <w:bCs/>
          <w:sz w:val="24"/>
          <w:szCs w:val="24"/>
        </w:rPr>
        <w:t xml:space="preserve">25060 – </w:t>
      </w:r>
      <w:r w:rsidRPr="00000893">
        <w:rPr>
          <w:rFonts w:ascii="Times New Roman" w:hAnsi="Times New Roman" w:cs="Times New Roman"/>
          <w:bCs/>
          <w:sz w:val="24"/>
          <w:szCs w:val="24"/>
        </w:rPr>
        <w:t>Мероприятия направленные на укрепление материально- технической базы муниципальных учреждений.</w:t>
      </w:r>
      <w:proofErr w:type="gramEnd"/>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rsidR="00000893" w:rsidRPr="00000893" w:rsidRDefault="00000893" w:rsidP="00000893">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rsidR="00000893" w:rsidRPr="00000893" w:rsidRDefault="00000893" w:rsidP="00000893">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rsidR="00000893" w:rsidRPr="00000893" w:rsidRDefault="00000893" w:rsidP="00000893">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озеленение в границах сельского поселения.</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rsidR="00000893" w:rsidRPr="00000893" w:rsidRDefault="00000893" w:rsidP="00000893">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rsidR="00000893" w:rsidRPr="00000893" w:rsidRDefault="00000893" w:rsidP="00000893">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lastRenderedPageBreak/>
        <w:t>По данной целевой статье отражаются расходы на оплату обязательств поселения, не предусмотренных другими целевыми статьями</w:t>
      </w:r>
    </w:p>
    <w:p w:rsidR="00000893" w:rsidRPr="00000893" w:rsidRDefault="00000893" w:rsidP="00000893">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rsidR="00000893" w:rsidRPr="00000893" w:rsidRDefault="00000893" w:rsidP="00000893">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bookmarkStart w:id="3" w:name="OLE_LINK70"/>
      <w:bookmarkStart w:id="4" w:name="OLE_LINK71"/>
      <w:bookmarkStart w:id="5" w:name="OLE_LINK72"/>
      <w:r w:rsidRPr="00000893">
        <w:rPr>
          <w:rFonts w:ascii="Times New Roman" w:hAnsi="Times New Roman" w:cs="Times New Roman"/>
          <w:bCs/>
          <w:sz w:val="24"/>
          <w:szCs w:val="24"/>
        </w:rPr>
        <w:t>Пенсия за выслугу лет</w:t>
      </w:r>
      <w:bookmarkEnd w:id="3"/>
      <w:bookmarkEnd w:id="4"/>
      <w:bookmarkEnd w:id="5"/>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rsidR="00000893" w:rsidRPr="00000893" w:rsidRDefault="00000893" w:rsidP="00000893">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rsidR="00000893" w:rsidRPr="00000893" w:rsidRDefault="00000893" w:rsidP="00000893">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Pr="00000893">
        <w:rPr>
          <w:rFonts w:ascii="Times New Roman" w:hAnsi="Times New Roman" w:cs="Times New Roman"/>
          <w:sz w:val="24"/>
          <w:szCs w:val="24"/>
        </w:rP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rsidR="00000893" w:rsidRPr="00000893" w:rsidRDefault="00000893" w:rsidP="00000893">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rsidR="00000893" w:rsidRPr="00000893" w:rsidRDefault="00000893" w:rsidP="00000893">
      <w:pPr>
        <w:snapToGrid w:val="0"/>
        <w:ind w:firstLine="709"/>
        <w:jc w:val="both"/>
        <w:rPr>
          <w:rFonts w:ascii="Times New Roman" w:hAnsi="Times New Roman" w:cs="Times New Roman"/>
          <w:b/>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 xml:space="preserve">5170 - </w:t>
      </w:r>
      <w:bookmarkStart w:id="6" w:name="OLE_LINK13"/>
      <w:bookmarkStart w:id="7" w:name="OLE_LINK14"/>
      <w:bookmarkStart w:id="8" w:name="OLE_LINK15"/>
      <w:r w:rsidRPr="00000893">
        <w:rPr>
          <w:rFonts w:ascii="Times New Roman" w:hAnsi="Times New Roman" w:cs="Times New Roman"/>
          <w:sz w:val="24"/>
          <w:szCs w:val="24"/>
        </w:rPr>
        <w:t>Софинансирование к субсидии на формирование муниципальных дорожных фондов</w:t>
      </w:r>
      <w:bookmarkEnd w:id="6"/>
      <w:bookmarkEnd w:id="7"/>
      <w:bookmarkEnd w:id="8"/>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5230</w:t>
      </w:r>
      <w:r w:rsidRPr="00000893">
        <w:rPr>
          <w:rFonts w:ascii="Times New Roman" w:hAnsi="Times New Roman" w:cs="Times New Roman"/>
          <w:sz w:val="24"/>
          <w:szCs w:val="24"/>
        </w:rPr>
        <w:t xml:space="preserve"> - </w:t>
      </w:r>
      <w:bookmarkStart w:id="9" w:name="OLE_LINK31"/>
      <w:bookmarkStart w:id="10"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9"/>
      <w:bookmarkEnd w:id="10"/>
    </w:p>
    <w:p w:rsidR="00000893" w:rsidRPr="00000893" w:rsidRDefault="00000893" w:rsidP="00000893">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по </w:t>
      </w:r>
      <w:proofErr w:type="spellStart"/>
      <w:r w:rsidRPr="00000893">
        <w:rPr>
          <w:rFonts w:ascii="Times New Roman" w:hAnsi="Times New Roman" w:cs="Times New Roman"/>
          <w:sz w:val="24"/>
          <w:szCs w:val="24"/>
        </w:rPr>
        <w:t>софинансированию</w:t>
      </w:r>
      <w:proofErr w:type="spellEnd"/>
      <w:r w:rsidRPr="00000893">
        <w:rPr>
          <w:rFonts w:ascii="Times New Roman" w:hAnsi="Times New Roman" w:cs="Times New Roman"/>
          <w:sz w:val="24"/>
          <w:szCs w:val="24"/>
        </w:rPr>
        <w:t xml:space="preserve"> к субсидии на реализацию проектов местных инициатив граждан, включенных в муниципальные программы развития территорий.</w:t>
      </w:r>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5370</w:t>
      </w:r>
      <w:r w:rsidRPr="00000893">
        <w:rPr>
          <w:rFonts w:ascii="Times New Roman" w:hAnsi="Times New Roman" w:cs="Times New Roman"/>
          <w:sz w:val="24"/>
          <w:szCs w:val="24"/>
        </w:rPr>
        <w:t xml:space="preserve"> - </w:t>
      </w:r>
      <w:bookmarkStart w:id="11" w:name="OLE_LINK48"/>
      <w:bookmarkStart w:id="12" w:name="OLE_LINK49"/>
      <w:bookmarkStart w:id="13"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11"/>
      <w:bookmarkEnd w:id="12"/>
      <w:bookmarkEnd w:id="13"/>
    </w:p>
    <w:p w:rsidR="0025416A" w:rsidRPr="00E257FC" w:rsidRDefault="0025416A" w:rsidP="00000893">
      <w:pPr>
        <w:jc w:val="both"/>
        <w:rPr>
          <w:rFonts w:ascii="Times New Roman" w:hAnsi="Times New Roman" w:cs="Times New Roman"/>
          <w:sz w:val="28"/>
          <w:szCs w:val="28"/>
        </w:rPr>
      </w:pPr>
    </w:p>
    <w:sectPr w:rsidR="0025416A" w:rsidRPr="00E257FC" w:rsidSect="008A40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D91"/>
    <w:rsid w:val="00000893"/>
    <w:rsid w:val="00160D91"/>
    <w:rsid w:val="001C2B83"/>
    <w:rsid w:val="0025416A"/>
    <w:rsid w:val="00437A40"/>
    <w:rsid w:val="004A39FF"/>
    <w:rsid w:val="0054785A"/>
    <w:rsid w:val="006150D4"/>
    <w:rsid w:val="00817B0F"/>
    <w:rsid w:val="008510AE"/>
    <w:rsid w:val="008A40BC"/>
    <w:rsid w:val="00BB4394"/>
    <w:rsid w:val="00C24BCA"/>
    <w:rsid w:val="00D55951"/>
    <w:rsid w:val="00DA49FB"/>
    <w:rsid w:val="00E20496"/>
    <w:rsid w:val="00E257FC"/>
    <w:rsid w:val="00E622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90;&#1088;&#1091;&#1073;&#1080;&#1095;&#1080;&#1085;&#1086;.&#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9C122-41EB-4FF3-BF64-2538477A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2021</Words>
  <Characters>11525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15</cp:revision>
  <cp:lastPrinted>2016-11-30T16:38:00Z</cp:lastPrinted>
  <dcterms:created xsi:type="dcterms:W3CDTF">2015-10-12T15:21:00Z</dcterms:created>
  <dcterms:modified xsi:type="dcterms:W3CDTF">2017-01-25T14:06:00Z</dcterms:modified>
</cp:coreProperties>
</file>