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09" w:rsidRDefault="003753B1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3753B1">
        <w:rPr>
          <w:rFonts w:eastAsia="Times New Roman" w:cs="Times New Roman"/>
          <w:color w:val="auto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41715701" r:id="rId9"/>
        </w:pi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proofErr w:type="gramStart"/>
      <w:r w:rsidRPr="00C85836">
        <w:rPr>
          <w:rFonts w:cs="Times New Roman"/>
          <w:sz w:val="28"/>
          <w:szCs w:val="28"/>
          <w:lang w:val="ru-RU" w:eastAsia="ru-RU"/>
        </w:rPr>
        <w:t>П</w:t>
      </w:r>
      <w:proofErr w:type="gramEnd"/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</w:tblGrid>
      <w:tr w:rsidR="00D97453" w:rsidRPr="00D668B5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024C65">
              <w:rPr>
                <w:rFonts w:cs="Times New Roman"/>
                <w:sz w:val="28"/>
                <w:szCs w:val="28"/>
                <w:lang w:val="ru-RU" w:eastAsia="ru-RU"/>
              </w:rPr>
              <w:t>27</w:t>
            </w:r>
            <w:r w:rsidR="00AF09B0">
              <w:rPr>
                <w:rFonts w:cs="Times New Roman"/>
                <w:sz w:val="28"/>
                <w:szCs w:val="28"/>
                <w:lang w:val="ru-RU" w:eastAsia="ru-RU"/>
              </w:rPr>
              <w:t>.12.2019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024C65">
              <w:rPr>
                <w:rFonts w:cs="Times New Roman"/>
                <w:sz w:val="28"/>
                <w:szCs w:val="28"/>
                <w:lang w:val="ru-RU" w:eastAsia="ru-RU"/>
              </w:rPr>
              <w:t>369</w:t>
            </w:r>
          </w:p>
          <w:p w:rsidR="00D97453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F23C02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174F89" w:rsidRPr="00174F89" w:rsidRDefault="00174F89" w:rsidP="00D668B5">
            <w:pPr>
              <w:ind w:left="426"/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174F89">
              <w:rPr>
                <w:rFonts w:cs="Times New Roman"/>
                <w:b/>
                <w:sz w:val="28"/>
                <w:szCs w:val="28"/>
                <w:lang w:val="ru-RU"/>
              </w:rPr>
              <w:t xml:space="preserve">Об утверждении Порядка оценки эффективности налоговых льгот (налоговых расходов) по местным налогам в 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Трубичинском се</w:t>
            </w:r>
            <w:r w:rsidRPr="00174F89">
              <w:rPr>
                <w:rFonts w:cs="Times New Roman"/>
                <w:b/>
                <w:sz w:val="28"/>
                <w:szCs w:val="28"/>
                <w:lang w:val="ru-RU"/>
              </w:rPr>
              <w:t>льском поселении</w:t>
            </w:r>
          </w:p>
          <w:p w:rsidR="00D97453" w:rsidRPr="00E96704" w:rsidRDefault="00D97453" w:rsidP="0053735F">
            <w:pPr>
              <w:tabs>
                <w:tab w:val="center" w:pos="1985"/>
                <w:tab w:val="left" w:pos="3828"/>
              </w:tabs>
              <w:spacing w:line="240" w:lineRule="exact"/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D97453" w:rsidRPr="008B4D67" w:rsidRDefault="00D97453" w:rsidP="00D97453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174F89" w:rsidRPr="00174F89" w:rsidRDefault="00174F89" w:rsidP="00174F89">
      <w:pPr>
        <w:ind w:left="426" w:firstLine="708"/>
        <w:jc w:val="both"/>
        <w:rPr>
          <w:rFonts w:eastAsia="Times New Roman" w:cs="Times New Roman"/>
          <w:sz w:val="28"/>
          <w:szCs w:val="28"/>
          <w:lang w:val="ru-RU" w:eastAsia="ar-SA"/>
        </w:rPr>
      </w:pP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174.3 Бюджетного Кодекса Российской Федерации, Уставом </w:t>
      </w:r>
      <w:r>
        <w:rPr>
          <w:rFonts w:eastAsia="Times New Roman" w:cs="Times New Roman"/>
          <w:sz w:val="28"/>
          <w:szCs w:val="28"/>
          <w:lang w:val="ru-RU" w:eastAsia="ar-SA"/>
        </w:rPr>
        <w:t>Трубичинского</w:t>
      </w: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 сельского поселения, Администрация </w:t>
      </w:r>
      <w:r>
        <w:rPr>
          <w:rFonts w:eastAsia="Times New Roman" w:cs="Times New Roman"/>
          <w:sz w:val="28"/>
          <w:szCs w:val="28"/>
          <w:lang w:val="ru-RU" w:eastAsia="ar-SA"/>
        </w:rPr>
        <w:t>Трубичинского</w:t>
      </w:r>
      <w:r w:rsidRPr="00174F89">
        <w:rPr>
          <w:rFonts w:eastAsia="Times New Roman" w:cs="Times New Roman"/>
          <w:sz w:val="28"/>
          <w:szCs w:val="28"/>
          <w:lang w:val="ru-RU" w:eastAsia="ar-SA"/>
        </w:rPr>
        <w:t xml:space="preserve"> сельского поселения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97453" w:rsidRDefault="00D97453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3735F" w:rsidRPr="00E96704" w:rsidRDefault="0053735F" w:rsidP="00D97453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174F89" w:rsidRPr="00024C65" w:rsidRDefault="00174F89" w:rsidP="00D668B5">
      <w:pPr>
        <w:keepLines/>
        <w:tabs>
          <w:tab w:val="left" w:pos="426"/>
        </w:tabs>
        <w:ind w:left="426" w:firstLine="708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 Утвердить Порядок оценки эффективности налоговых льгот (налоговых</w:t>
      </w:r>
      <w:r w:rsidR="00D668B5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расходов) по местным налогам </w:t>
      </w:r>
      <w:r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 поселения,  согласно</w:t>
      </w:r>
      <w:r w:rsidR="00D668B5">
        <w:rPr>
          <w:rFonts w:cs="Times New Roman"/>
          <w:sz w:val="28"/>
          <w:szCs w:val="28"/>
          <w:lang w:val="ru-RU"/>
        </w:rPr>
        <w:t xml:space="preserve"> </w:t>
      </w:r>
      <w:r w:rsidRPr="00024C65">
        <w:rPr>
          <w:rFonts w:cs="Times New Roman"/>
          <w:sz w:val="28"/>
          <w:szCs w:val="28"/>
          <w:lang w:val="ru-RU"/>
        </w:rPr>
        <w:t>приложени</w:t>
      </w:r>
      <w:r>
        <w:rPr>
          <w:rFonts w:cs="Times New Roman"/>
          <w:sz w:val="28"/>
          <w:szCs w:val="28"/>
          <w:lang w:val="ru-RU"/>
        </w:rPr>
        <w:t>ю</w:t>
      </w:r>
      <w:r w:rsidRPr="00024C65">
        <w:rPr>
          <w:rFonts w:cs="Times New Roman"/>
          <w:sz w:val="28"/>
          <w:szCs w:val="28"/>
          <w:lang w:val="ru-RU"/>
        </w:rPr>
        <w:t>.</w:t>
      </w:r>
    </w:p>
    <w:p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</w:t>
      </w:r>
      <w:proofErr w:type="spellStart"/>
      <w:r w:rsidRPr="003B23BA">
        <w:rPr>
          <w:color w:val="auto"/>
          <w:sz w:val="28"/>
          <w:szCs w:val="28"/>
          <w:u w:val="single"/>
          <w:lang w:val="ru-RU"/>
        </w:rPr>
        <w:t>трубичино.рф</w:t>
      </w:r>
      <w:proofErr w:type="spellEnd"/>
      <w:r w:rsidRPr="003B23BA">
        <w:rPr>
          <w:color w:val="auto"/>
          <w:sz w:val="28"/>
          <w:szCs w:val="28"/>
          <w:u w:val="single"/>
          <w:lang w:val="ru-RU"/>
        </w:rPr>
        <w:t>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                       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931714" w:rsidRDefault="00931714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D668B5" w:rsidRDefault="00D668B5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174F89" w:rsidRDefault="00174F8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174F89" w:rsidRPr="00174F89" w:rsidRDefault="00174F89" w:rsidP="00174F89">
      <w:pPr>
        <w:jc w:val="right"/>
        <w:rPr>
          <w:rFonts w:cs="Times New Roman"/>
          <w:sz w:val="18"/>
          <w:szCs w:val="18"/>
          <w:lang w:val="ru-RU"/>
        </w:rPr>
      </w:pPr>
      <w:r w:rsidRPr="00174F89">
        <w:rPr>
          <w:rFonts w:cs="Times New Roman"/>
          <w:sz w:val="18"/>
          <w:szCs w:val="18"/>
          <w:lang w:val="ru-RU"/>
        </w:rPr>
        <w:t>УТВЕРЖДЕН</w:t>
      </w:r>
    </w:p>
    <w:p w:rsidR="00174F89" w:rsidRPr="00174F89" w:rsidRDefault="00174F89" w:rsidP="00174F89">
      <w:pPr>
        <w:jc w:val="right"/>
        <w:rPr>
          <w:rFonts w:cs="Times New Roman"/>
          <w:sz w:val="18"/>
          <w:szCs w:val="18"/>
          <w:lang w:val="ru-RU"/>
        </w:rPr>
      </w:pPr>
      <w:r w:rsidRPr="00174F89">
        <w:rPr>
          <w:rFonts w:cs="Times New Roman"/>
          <w:sz w:val="18"/>
          <w:szCs w:val="18"/>
          <w:lang w:val="ru-RU"/>
        </w:rPr>
        <w:t>постановлением Администрации</w:t>
      </w:r>
    </w:p>
    <w:p w:rsidR="00174F89" w:rsidRPr="00174F89" w:rsidRDefault="00332492" w:rsidP="00174F89">
      <w:pPr>
        <w:jc w:val="right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Трубичинского</w:t>
      </w:r>
      <w:r w:rsidR="00174F89" w:rsidRPr="00174F89">
        <w:rPr>
          <w:rFonts w:cs="Times New Roman"/>
          <w:sz w:val="18"/>
          <w:szCs w:val="18"/>
          <w:lang w:val="ru-RU"/>
        </w:rPr>
        <w:t xml:space="preserve"> сельского поселения</w:t>
      </w:r>
    </w:p>
    <w:p w:rsidR="00174F89" w:rsidRPr="00174F89" w:rsidRDefault="00174F89" w:rsidP="00174F89">
      <w:pPr>
        <w:jc w:val="right"/>
        <w:rPr>
          <w:rFonts w:cs="Times New Roman"/>
          <w:sz w:val="18"/>
          <w:szCs w:val="18"/>
          <w:lang w:val="ru-RU"/>
        </w:rPr>
      </w:pPr>
      <w:r w:rsidRPr="00174F89">
        <w:rPr>
          <w:rFonts w:cs="Times New Roman"/>
          <w:sz w:val="18"/>
          <w:szCs w:val="18"/>
          <w:lang w:val="ru-RU"/>
        </w:rPr>
        <w:t xml:space="preserve">от </w:t>
      </w:r>
      <w:r w:rsidR="00332492">
        <w:rPr>
          <w:rFonts w:cs="Times New Roman"/>
          <w:sz w:val="18"/>
          <w:szCs w:val="18"/>
          <w:lang w:val="ru-RU"/>
        </w:rPr>
        <w:t>27</w:t>
      </w:r>
      <w:r w:rsidRPr="00174F89">
        <w:rPr>
          <w:rFonts w:cs="Times New Roman"/>
          <w:sz w:val="18"/>
          <w:szCs w:val="18"/>
          <w:lang w:val="ru-RU"/>
        </w:rPr>
        <w:t>.1</w:t>
      </w:r>
      <w:r w:rsidR="00332492">
        <w:rPr>
          <w:rFonts w:cs="Times New Roman"/>
          <w:sz w:val="18"/>
          <w:szCs w:val="18"/>
          <w:lang w:val="ru-RU"/>
        </w:rPr>
        <w:t>2</w:t>
      </w:r>
      <w:r w:rsidRPr="00174F89">
        <w:rPr>
          <w:rFonts w:cs="Times New Roman"/>
          <w:sz w:val="18"/>
          <w:szCs w:val="18"/>
          <w:lang w:val="ru-RU"/>
        </w:rPr>
        <w:t>.2019 г.</w:t>
      </w:r>
      <w:r w:rsidR="00332492">
        <w:rPr>
          <w:rFonts w:cs="Times New Roman"/>
          <w:sz w:val="18"/>
          <w:szCs w:val="18"/>
          <w:lang w:val="ru-RU"/>
        </w:rPr>
        <w:t xml:space="preserve"> </w:t>
      </w:r>
      <w:r w:rsidRPr="00174F89">
        <w:rPr>
          <w:rFonts w:cs="Times New Roman"/>
          <w:sz w:val="18"/>
          <w:szCs w:val="18"/>
          <w:lang w:val="ru-RU"/>
        </w:rPr>
        <w:t xml:space="preserve">№ </w:t>
      </w:r>
      <w:r w:rsidR="00D668B5">
        <w:rPr>
          <w:rFonts w:cs="Times New Roman"/>
          <w:sz w:val="18"/>
          <w:szCs w:val="18"/>
          <w:lang w:val="ru-RU"/>
        </w:rPr>
        <w:t>369</w:t>
      </w:r>
    </w:p>
    <w:p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ПОРЯДОК</w:t>
      </w:r>
    </w:p>
    <w:p w:rsidR="00174F89" w:rsidRPr="00174F89" w:rsidRDefault="00174F89" w:rsidP="00174F89">
      <w:pPr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 xml:space="preserve">оценки эффективности налоговых льгот (налоговых расходов) по местным налогам в </w:t>
      </w:r>
      <w:r w:rsidR="00332492">
        <w:rPr>
          <w:rFonts w:cs="Times New Roman"/>
          <w:b/>
          <w:sz w:val="28"/>
          <w:szCs w:val="28"/>
          <w:lang w:val="ru-RU"/>
        </w:rPr>
        <w:t>Трубичинском</w:t>
      </w:r>
      <w:r w:rsidRPr="00174F89">
        <w:rPr>
          <w:rFonts w:cs="Times New Roman"/>
          <w:b/>
          <w:sz w:val="28"/>
          <w:szCs w:val="28"/>
          <w:lang w:val="ru-RU"/>
        </w:rPr>
        <w:t xml:space="preserve"> сельском поселении </w:t>
      </w:r>
    </w:p>
    <w:p w:rsidR="00174F89" w:rsidRPr="00174F89" w:rsidRDefault="00174F89" w:rsidP="00174F89">
      <w:pPr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332492">
      <w:pPr>
        <w:jc w:val="center"/>
        <w:rPr>
          <w:rFonts w:cs="Times New Roman"/>
          <w:b/>
          <w:sz w:val="28"/>
          <w:szCs w:val="28"/>
          <w:lang w:val="ru-RU"/>
        </w:rPr>
      </w:pPr>
      <w:r w:rsidRPr="00F37911">
        <w:rPr>
          <w:rFonts w:cs="Times New Roman"/>
          <w:b/>
          <w:sz w:val="28"/>
          <w:szCs w:val="28"/>
        </w:rPr>
        <w:t>I</w:t>
      </w:r>
      <w:r w:rsidRPr="00174F89">
        <w:rPr>
          <w:rFonts w:cs="Times New Roman"/>
          <w:b/>
          <w:sz w:val="28"/>
          <w:szCs w:val="28"/>
          <w:lang w:val="ru-RU"/>
        </w:rPr>
        <w:t>. Общие положения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1.1. Настоящий Порядок определяет правила проведения оценки эффективности налоговых льгот (налоговых расходов) по местным налогам (далее - оценка эффективности).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174F89">
        <w:rPr>
          <w:rFonts w:cs="Times New Roman"/>
          <w:sz w:val="28"/>
          <w:szCs w:val="28"/>
          <w:lang w:val="ru-RU"/>
        </w:rPr>
        <w:t>Оценка эффективности налоговых льгот (налоговых расходов) по местным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налогам производится в целях оптимизации перечня действующих 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и их соответствия общественным интересам,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1.2. Порядок оценки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 местным налогам (далее - Порядок) определяет объекты предстоящей оценки эффективности налоговых льгот (налоговых расходов) по местным налогам, условия предоставления налоговых льгот (налоговых расходов), перечень и последовательность действий при проведении оценки эффективности налоговых льгот (налоговых расходов), а также требования к применению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1.3. </w:t>
      </w:r>
      <w:proofErr w:type="gramStart"/>
      <w:r w:rsidRPr="00174F89">
        <w:rPr>
          <w:rFonts w:cs="Times New Roman"/>
          <w:sz w:val="28"/>
          <w:szCs w:val="28"/>
          <w:lang w:val="ru-RU"/>
        </w:rPr>
        <w:t>Настоящий Порядок распространяется на предоставленные решениями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Советов депутатов, а также планируемые к предоставлению налоговые льготы (налоговые расходы) по местным налогам (далее – налоговые </w:t>
      </w:r>
      <w:bookmarkStart w:id="0" w:name="_GoBack"/>
      <w:bookmarkEnd w:id="0"/>
      <w:r w:rsidRPr="00174F89">
        <w:rPr>
          <w:rFonts w:cs="Times New Roman"/>
          <w:sz w:val="28"/>
          <w:szCs w:val="28"/>
          <w:lang w:val="ru-RU"/>
        </w:rPr>
        <w:t>льготы (налоговые расходы)).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1.4. Для целей настоящего Порядка используются следующие основные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понятия: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-налоговая льгота</w:t>
      </w:r>
      <w:r w:rsidRPr="00174F89">
        <w:rPr>
          <w:rFonts w:cs="Times New Roman"/>
          <w:sz w:val="28"/>
          <w:szCs w:val="28"/>
          <w:lang w:val="ru-RU"/>
        </w:rPr>
        <w:t xml:space="preserve"> 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-налоговые расходы</w:t>
      </w:r>
      <w:r w:rsidRPr="00174F89">
        <w:rPr>
          <w:rFonts w:cs="Times New Roman"/>
          <w:sz w:val="28"/>
          <w:szCs w:val="28"/>
          <w:lang w:val="ru-RU"/>
        </w:rPr>
        <w:t xml:space="preserve"> - налоговые льготы, а также не относимые к 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льготам пониженные ставки соответствующих налогов для отдельных категорий налогоплательщиков, установленные актами представительных органов муниципальных образований в качестве мер муниципальной поддержки в соответствии с целями муниципальных программ и целями социально-экономической политики соответствующего публично правового образования, не относящимися к муниципальным программам;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-оценка эффективности</w:t>
      </w:r>
      <w:r w:rsidRPr="00174F89">
        <w:rPr>
          <w:rFonts w:cs="Times New Roman"/>
          <w:sz w:val="28"/>
          <w:szCs w:val="28"/>
          <w:lang w:val="ru-RU"/>
        </w:rPr>
        <w:t xml:space="preserve"> - процедура сопоставления результатов предоставления налоговых льгот (налоговых расходов) отдельным категориям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lastRenderedPageBreak/>
        <w:t>налогоплательщиков с учетом показателей бюджетной и социальной эффективности в разрезе отраслей (видов деятельности);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-категория налогоплательщиков</w:t>
      </w:r>
      <w:r w:rsidRPr="00174F89">
        <w:rPr>
          <w:rFonts w:cs="Times New Roman"/>
          <w:sz w:val="28"/>
          <w:szCs w:val="28"/>
          <w:lang w:val="ru-RU"/>
        </w:rPr>
        <w:t xml:space="preserve"> - группа налогоплательщиков, осуществляющих определенный вид деятельности. Под видом осуществляемой налогоплательщиком деятельности в целях применения льгот понимается основной вид деятельности, соответствующий присвоенному в установленном порядке коду Общероссийского классификатора видов экономической деятельности, и по которому объем реализованной продукции (товаров, услуг) составляет в стоимостном выражении более 70% общего объема реализации;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-бюджетная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результатов хозяйственной деятельности отдельных категорий налогоплательщиков, которым предоставлены налоговые льготы (налоговые расходы) с точки зрения влияния на доходы и расходы местного бюджета;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-социальная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социальные последствия предоставления налоговых льгот (налоговых расходов) для общества в целом, которые выражаются в изменении уровня и качества товаров, работ, услуг для населения в результате осуществления деятельности организаций - получателей льгот, повышение социальной защищенности населения, формирование благоприятных условий жизнедеятельности малообеспеченных групп граждан.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-экономическая эффективность</w:t>
      </w:r>
      <w:r w:rsidRPr="00174F89">
        <w:rPr>
          <w:rFonts w:cs="Times New Roman"/>
          <w:sz w:val="28"/>
          <w:szCs w:val="28"/>
          <w:lang w:val="ru-RU"/>
        </w:rPr>
        <w:t xml:space="preserve"> - оценка динамики финансово-экономических показателей хозяйственной деятельности налогоплательщиков, которым предоставлены налоговые льготы (налоговые расходы).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-иные понятия и термины используются в значениях, определяемых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Налоговым кодексом Российской Федерации.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2. Основные принципы и цели установления налоговых льгот (налоговых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расходов)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2.1. Установление налоговых льгот (налоговых расходов) осуществляется с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соблюдением следующих основных принципов: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налоговые льготы (налоговые расходы) устанавливаются в пределах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самоуправления, установленных федеральным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налоговые льготы (налоговые расходы) устанавливаются отдельным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категориям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2.2. Основными целями предоставления налоговых льгот (налоговых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являются: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обеспечение экономической заинтересованности хозяйствующих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субъектов в расширении приоритетных видов хозяйственной деятельности;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стимулирование использования финансовых ресурсов, направляемых на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создание, расширение и обновление производств и технологий по выпуску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необход</w:t>
      </w:r>
      <w:r w:rsidR="006C5A78">
        <w:rPr>
          <w:rFonts w:cs="Times New Roman"/>
          <w:sz w:val="28"/>
          <w:szCs w:val="28"/>
          <w:lang w:val="ru-RU"/>
        </w:rPr>
        <w:t>имой продукции (товаров,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создание необходимых экономических условий для развития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инвестиционной и инновационной деятельности в </w:t>
      </w:r>
      <w:r w:rsidR="006C5A78">
        <w:rPr>
          <w:rFonts w:cs="Times New Roman"/>
          <w:sz w:val="28"/>
          <w:szCs w:val="28"/>
          <w:lang w:val="ru-RU"/>
        </w:rPr>
        <w:t>Трубичинском</w:t>
      </w:r>
      <w:r w:rsidRPr="00174F89">
        <w:rPr>
          <w:rFonts w:cs="Times New Roman"/>
          <w:sz w:val="28"/>
          <w:szCs w:val="28"/>
          <w:lang w:val="ru-RU"/>
        </w:rPr>
        <w:t xml:space="preserve"> сельском поселении;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создание благоприятных экономических условий для деятельности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организаций, применяющих труд социально незащищенных категорий граждан;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74F89">
        <w:rPr>
          <w:rFonts w:cs="Times New Roman"/>
          <w:sz w:val="28"/>
          <w:szCs w:val="28"/>
          <w:lang w:val="ru-RU"/>
        </w:rPr>
        <w:t>д</w:t>
      </w:r>
      <w:proofErr w:type="spellEnd"/>
      <w:r w:rsidRPr="00174F89">
        <w:rPr>
          <w:rFonts w:cs="Times New Roman"/>
          <w:sz w:val="28"/>
          <w:szCs w:val="28"/>
          <w:lang w:val="ru-RU"/>
        </w:rPr>
        <w:t>) оказание экономической поддержки организациям в решении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lastRenderedPageBreak/>
        <w:t xml:space="preserve">приоритетных для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социальных задач;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е) оказание поддержки социально незащищенным категориям граждан.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3. Виды налоговых льгот (налоговых расходов) и условия их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предоставления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3.1. Налоговые льготы (налоговые расходы) предоставляются налогоплательщикам на основании решений Совета депутатов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3.2. Налогоплательщикам могут устанавливаться следующие виды налоговых льгот (налоговых расходов):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изъятие из налогообложения отдельных элементов объекта налогообложения;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освобождение от уплаты налога (полное или частичное);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утверждение дифференцированных ставок налога, установление уровня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ставки ниже максимального значения, установленного 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законодательством Российской Федерации.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3.3. Налоговые льготы (налоговые расходы) предоставляются в пределах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сумм, подлежащих зачислению в бюджет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3.4.1.Перечень налоговых льгот (налоговых расходов) формируется в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разрезе муниципальных программ и их структурных элементов, а также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направлений деятельности, не входящих в муниципальные программы, и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включает указания на обуславливающие соответствующие налоговые расходы положения (статьи, части, пункты, подпункты, абзацы) решений Совета депутатов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Принадлежность налоговых льгот (налоговых расходов) муниципальным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программам определяется исходя из соответствия целей указанных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(расходов) приоритетам и целям социально-экономического развития,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определенным в соответствующих муниципальных программах.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Отдельные налоговые льготы (налоговые расходы) могут соответствовать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нескольким целям социально-экономического развития, отнесенным к разным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муниципальным программам. В этом случае они относятся к нераспределенным налоговым льготам (налоговым расходам). Налоговые льготы (налоговые расходы), которые не соответствуют перечисленным выше критериям, относятся к не программным налоговым льготам (налоговым расходам).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3.4.2. Перечень налоговых льгот (налоговых расходов) включает указания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 обуславливающие соответствующие налоговые льготы (налоговые расходы</w:t>
      </w:r>
      <w:proofErr w:type="gramStart"/>
      <w:r w:rsidRPr="00174F89">
        <w:rPr>
          <w:rFonts w:cs="Times New Roman"/>
          <w:sz w:val="28"/>
          <w:szCs w:val="28"/>
          <w:lang w:val="ru-RU"/>
        </w:rPr>
        <w:t>)п</w:t>
      </w:r>
      <w:proofErr w:type="gramEnd"/>
      <w:r w:rsidRPr="00174F89">
        <w:rPr>
          <w:rFonts w:cs="Times New Roman"/>
          <w:sz w:val="28"/>
          <w:szCs w:val="28"/>
          <w:lang w:val="ru-RU"/>
        </w:rPr>
        <w:t>оложения (статьи, части, пункты, подпункты, абзацы) решений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Совета депутатов </w:t>
      </w:r>
      <w:r w:rsidR="006C5A78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поселения, характеристики налогового расхода (вид льготы, условия предоставления льготы, срок действия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льготы, целевая категория налоговой льготы (налогового расхода), категория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налогоплательщиков-получателей налоговой льготы (налогового расхода) и др.), оценку объема налоговой льготы (налогового расхода), расчетные показатели для оценки эффективности налоговой льготы (налогового расхода) и иную информацию по налоговой льготе (налоговому расходу) согласно настоящей  методике.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lastRenderedPageBreak/>
        <w:t>3.5. В целях обеспечения эффективности предоставления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и их соответствия общественным интересам запрещается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предоставление налоговых льгот (налоговых расходов) при низкой оценке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бюджетной и социальной эффективности. При рассмотрении предложений 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предоставлении налоговых льгот (налоговых расходов) в обязательном порядке проводится оценка эффективности налоговых льгот (налоговых расходов) в соответствии с настоящим Порядком по каждому местному налогу и в отношении каждой категории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3.6.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проводится: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по предоставленным налоговым льготам (налоговым расходам) по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состоянию на 1 января года, следующего за отчетным финансовым годом </w:t>
      </w:r>
      <w:r w:rsidR="006C5A78">
        <w:rPr>
          <w:rFonts w:cs="Times New Roman"/>
          <w:sz w:val="28"/>
          <w:szCs w:val="28"/>
          <w:lang w:val="ru-RU"/>
        </w:rPr>
        <w:t>–</w:t>
      </w:r>
      <w:r w:rsidRPr="00174F89">
        <w:rPr>
          <w:rFonts w:cs="Times New Roman"/>
          <w:sz w:val="28"/>
          <w:szCs w:val="28"/>
          <w:lang w:val="ru-RU"/>
        </w:rPr>
        <w:t xml:space="preserve"> в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срок до 1 сентября года, следующего за отчетным финансовым годом;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по планируемым к предоставлению налоговым льготам (налоговым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 - в течение месяца со дня поступления предложений по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предоставлению налоговых льгот.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center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4. Методологические подходы к проведению оценки эффективности</w:t>
      </w:r>
      <w:r w:rsidR="006C5A78">
        <w:rPr>
          <w:rFonts w:cs="Times New Roman"/>
          <w:b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налоговых льгот (налоговых расходов) по местным налогам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4.1.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производится: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при рассмотрении эффективности ранее предоставленных налоговых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при внесении предложений о предоставлении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отдельным категориям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4.2. Оценка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осуществляется в два этапа: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 этап - оценка целесообразности осуществления налоговых льгот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2 этап - оценка результативности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оценки эффективности налоговых льгот (налоговых расходов)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указанные льготы (расходы) разделяются на 3 типа в зависимости от целевой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категории: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1) социальная - поддержка отдельных категорий граждан;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2) </w:t>
      </w:r>
      <w:proofErr w:type="gramStart"/>
      <w:r w:rsidRPr="00174F89">
        <w:rPr>
          <w:rFonts w:cs="Times New Roman"/>
          <w:sz w:val="28"/>
          <w:szCs w:val="28"/>
          <w:lang w:val="ru-RU"/>
        </w:rPr>
        <w:t>финансовая</w:t>
      </w:r>
      <w:proofErr w:type="gramEnd"/>
      <w:r w:rsidRPr="00174F89">
        <w:rPr>
          <w:rFonts w:cs="Times New Roman"/>
          <w:sz w:val="28"/>
          <w:szCs w:val="28"/>
          <w:lang w:val="ru-RU"/>
        </w:rPr>
        <w:t xml:space="preserve"> - устранение/уменьшение встречных финансовых потоков;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3) </w:t>
      </w:r>
      <w:proofErr w:type="gramStart"/>
      <w:r w:rsidRPr="00174F89">
        <w:rPr>
          <w:rFonts w:cs="Times New Roman"/>
          <w:sz w:val="28"/>
          <w:szCs w:val="28"/>
          <w:lang w:val="ru-RU"/>
        </w:rPr>
        <w:t>стимулирующая</w:t>
      </w:r>
      <w:proofErr w:type="gramEnd"/>
      <w:r w:rsidRPr="00174F89">
        <w:rPr>
          <w:rFonts w:cs="Times New Roman"/>
          <w:sz w:val="28"/>
          <w:szCs w:val="28"/>
          <w:lang w:val="ru-RU"/>
        </w:rPr>
        <w:t xml:space="preserve"> - привлечение инвестиций и расширение экономического</w:t>
      </w:r>
      <w:r w:rsidR="006C5A7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потенциала. 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174F89">
        <w:rPr>
          <w:rFonts w:cs="Times New Roman"/>
          <w:b/>
          <w:sz w:val="28"/>
          <w:szCs w:val="28"/>
          <w:lang w:val="ru-RU"/>
        </w:rPr>
        <w:t>К социальным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 (налоговые расходы), установленные для отдельных социально незащищенных групп населения, социально ориентированных некоммерческих организаций, организаций, конечной целью которых является поддержка населения, а также иных категорий налогоплательщиков, в случае если целью налоговых льгот (налоговых расходов) не является стимулирование экономической активности и увеличение налоговых поступлений в бюджет </w:t>
      </w:r>
      <w:r w:rsidR="00815346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lastRenderedPageBreak/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К финансовым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(налоговые расходы), установленные в целях уменьшения расходов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налогоплательщиков, финансовое обеспечение которых осуществляется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 объеме или частично за счет бюджета поселения или муниципального района.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b/>
          <w:sz w:val="28"/>
          <w:szCs w:val="28"/>
          <w:lang w:val="ru-RU"/>
        </w:rPr>
        <w:t>К стимулирующим льготам</w:t>
      </w:r>
      <w:r w:rsidRPr="00174F89">
        <w:rPr>
          <w:rFonts w:cs="Times New Roman"/>
          <w:sz w:val="28"/>
          <w:szCs w:val="28"/>
          <w:lang w:val="ru-RU"/>
        </w:rPr>
        <w:t xml:space="preserve"> (расходам) относятся налоговые льготы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(налоговые расходы), установленные в целях стимулирования экономической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активности для увеличения налоговых поступлений в бюджет поселения.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4.3.Обязательными критериями целесообразности осуществления налоговых льгот (налоговых расходов) являются: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соответствие налоговых расходов (в том числе нераспределенных) целям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задачам муниципальных программ (их структурных элементов) или иным целям социально-экономической политики поселения (в отношении не программных 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соразмерные (низкие) издержки администрирования в размере не более 10% от общего объема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востребованность налоговой льготы (налогового расхода), освобождения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или иной преференции;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отсутствие значимых отрицательных внешних эффектов.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Невыполнение хотя бы одного из указанных критериев свидетельствует 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недостаточной эффективности рассматриваемых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расходов). В этом случае следует рекомендовать рассматриваемую налоговую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льготу (налоговый расход) к отмене либо сформулировать предложения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совершенствованию механизма ее действия.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4.4. </w:t>
      </w:r>
      <w:proofErr w:type="gramStart"/>
      <w:r w:rsidRPr="00174F89">
        <w:rPr>
          <w:rFonts w:cs="Times New Roman"/>
          <w:sz w:val="28"/>
          <w:szCs w:val="28"/>
          <w:lang w:val="ru-RU"/>
        </w:rPr>
        <w:t>Оценка результативности производится на основании влияния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 (для налоговых расходов, отнесенных к не программным), и включает оценку бюджетной эффективности налоговой льготы (налогового расхода).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174F89">
        <w:rPr>
          <w:rFonts w:cs="Times New Roman"/>
          <w:sz w:val="28"/>
          <w:szCs w:val="28"/>
          <w:lang w:val="ru-RU"/>
        </w:rPr>
        <w:t>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элементов), либо результата достижения цели, определенной при предоставлении налоговой льготы (для налоговых расходов, отнесенных к не программным или нераспределенным).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4.5. Объектом оценки является бюджетная, социальная и экономическая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от предоставления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4.6. Осуществляемые при проведении оценки расчеты эффективности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должны базироваться на данных налоговой службы (отчет по форме </w:t>
      </w:r>
      <w:r w:rsidRPr="00C51EB0">
        <w:rPr>
          <w:rFonts w:cs="Times New Roman"/>
          <w:sz w:val="28"/>
          <w:szCs w:val="28"/>
        </w:rPr>
        <w:t>N</w:t>
      </w:r>
      <w:r w:rsidRPr="00174F89">
        <w:rPr>
          <w:rFonts w:cs="Times New Roman"/>
          <w:sz w:val="28"/>
          <w:szCs w:val="28"/>
          <w:lang w:val="ru-RU"/>
        </w:rPr>
        <w:t xml:space="preserve"> 5-МН «О </w:t>
      </w:r>
      <w:r w:rsidRPr="00174F89">
        <w:rPr>
          <w:rFonts w:cs="Times New Roman"/>
          <w:sz w:val="28"/>
          <w:szCs w:val="28"/>
          <w:lang w:val="ru-RU"/>
        </w:rPr>
        <w:lastRenderedPageBreak/>
        <w:t>налоговой базе и структуре начислений по местным налогам»),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используются статистическая отчетность, данные предоставленные получателями налоговых льгот или претендующими на их получение по запросу уполномоченного органа и иные виды информации.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случае непредставления налогоплательщиками необходимой информации для оценки эффективности предоставления налоговых льгот (налоговых расходов) вносится предложение об отмене действующих налоговых льгот (налоговых расходов) (или предполагаемых к установлению налоговых льгот (налоговых расходов)).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4.7. Для принятия решения об эффективности применения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в отношении физических лиц используется оценка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социальной 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отношении организаций, финансируемых из бюджетов бюджетной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системы Российской Федерации, для принятия решения об эффективности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применения налоговых льгот (налоговых расходов) применяется сводная оценка бюджетной и социальной 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принятия решения об эффективности применения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в отношении налогоплательщиков – организаций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физических лиц, являющихся индивидуальным предпринимателями,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используется сводная оценка бюджетной, социальной и экономической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Эффект от предоставленной налоговой льготы (налогового расхода)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признается удовлетворительным (достаточным) в случае положительной оценки одного из объектов оценки.</w:t>
      </w:r>
    </w:p>
    <w:p w:rsidR="00174F89" w:rsidRPr="00174F89" w:rsidRDefault="00174F89" w:rsidP="00815346">
      <w:pPr>
        <w:ind w:left="426" w:firstLine="1134"/>
        <w:jc w:val="center"/>
        <w:rPr>
          <w:rFonts w:cs="Times New Roman"/>
          <w:b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>5. Показатели оценки эффективности налоговых льгот (налоговых расходов)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5.1. Для оценки бюджетной эффективности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динамика уплаченных налогоплательщиком налоговых платежей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местный бюджет за отчетный финансовый год и финансовый год,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предшествующий отчетному году;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отсутствие у налогоплательщика задолженности по налоговым платежам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местный бюджет по итогам отчетного финансового года;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оптимизация расходов и исключение встречных финансовых потоков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местный бюджет (уменьшение бюджетного финансирования);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Бюджетная эффективность налоговых льгот (налоговых расходов)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местным налогам обеспечивается и признается положительной при выполнении одного из указанных показателей.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5.1.1. </w:t>
      </w:r>
      <w:proofErr w:type="gramStart"/>
      <w:r w:rsidRPr="00174F89">
        <w:rPr>
          <w:rFonts w:cs="Times New Roman"/>
          <w:sz w:val="28"/>
          <w:szCs w:val="28"/>
          <w:lang w:val="ru-RU"/>
        </w:rPr>
        <w:t>В целях проведения оценки бюджетной эффективности 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lastRenderedPageBreak/>
        <w:t>налоговых расходов и на 1 рубль бюджетных расходов (для достижения того же эффекта) в случае применения</w:t>
      </w:r>
      <w:proofErr w:type="gramEnd"/>
      <w:r w:rsidRPr="00174F89">
        <w:rPr>
          <w:rFonts w:cs="Times New Roman"/>
          <w:sz w:val="28"/>
          <w:szCs w:val="28"/>
          <w:lang w:val="ru-RU"/>
        </w:rPr>
        <w:t xml:space="preserve"> альтернативных механизмов). 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 целях настоящего пункта в качестве альтернативных механизмов могут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учитываться в том числе: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субсидии или иные формы непосредственной финансовой поддержки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 за счет средств бюджета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поселения;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-предоставление государственных (муниципальных) гарантий по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обязательствам соответствующих категорий налогоплательщиков;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совершенствование нормативного регулирования и (или) порядка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осуществления контрольно-надзорных функций в сфере деятельности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соответствующих категорий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Оценка бюджетной эффективности стимулирующих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наряду со сравнительным анализом, указанным в абзаце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первом настоящего пункта, предусматривает оценку совокупного бюджетного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эффекта (самоокупаемости) указанных налоговых льгот (налоговых расходов), осуществляемую в соответствии с пунктом 5.1.2 настоящего пункта.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5.1.2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</w:t>
      </w:r>
      <w:proofErr w:type="gramStart"/>
      <w:r w:rsidRPr="00174F89">
        <w:rPr>
          <w:rFonts w:cs="Times New Roman"/>
          <w:sz w:val="28"/>
          <w:szCs w:val="28"/>
          <w:lang w:val="ru-RU"/>
        </w:rPr>
        <w:t>отчетному</w:t>
      </w:r>
      <w:proofErr w:type="gramEnd"/>
      <w:r w:rsidRPr="00174F89">
        <w:rPr>
          <w:rFonts w:cs="Times New Roman"/>
          <w:sz w:val="28"/>
          <w:szCs w:val="28"/>
          <w:lang w:val="ru-RU"/>
        </w:rPr>
        <w:t>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D5416F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867025" cy="522381"/>
            <wp:effectExtent l="0" t="0" r="0" b="0"/>
            <wp:docPr id="1" name="Рисунок 1" descr="Y:\ПЕРВУШИНА\форму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ПЕРВУШИНА\формул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66" cy="5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4F89">
        <w:rPr>
          <w:rFonts w:cs="Times New Roman"/>
          <w:sz w:val="28"/>
          <w:szCs w:val="28"/>
          <w:lang w:val="ru-RU"/>
        </w:rPr>
        <w:t>, где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cs="Times New Roman"/>
          <w:sz w:val="28"/>
          <w:szCs w:val="28"/>
        </w:rPr>
        <w:t>N</w:t>
      </w:r>
      <w:r w:rsidRPr="00D5416F">
        <w:rPr>
          <w:rFonts w:cs="Times New Roman"/>
          <w:sz w:val="32"/>
          <w:szCs w:val="28"/>
          <w:vertAlign w:val="subscript"/>
        </w:rPr>
        <w:t>ij</w:t>
      </w:r>
      <w:proofErr w:type="spellEnd"/>
      <w:r w:rsidRPr="00174F89">
        <w:rPr>
          <w:rFonts w:cs="Times New Roman"/>
          <w:sz w:val="32"/>
          <w:szCs w:val="28"/>
          <w:vertAlign w:val="subscript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 xml:space="preserve">-го налогоплательщика-получателя льготы (расхода) в </w:t>
      </w:r>
      <w:proofErr w:type="spellStart"/>
      <w:r w:rsidRPr="00C51EB0">
        <w:rPr>
          <w:rFonts w:cs="Times New Roman"/>
          <w:sz w:val="28"/>
          <w:szCs w:val="28"/>
        </w:rPr>
        <w:t>i</w:t>
      </w:r>
      <w:proofErr w:type="spellEnd"/>
      <w:r w:rsidRPr="00174F89">
        <w:rPr>
          <w:rFonts w:cs="Times New Roman"/>
          <w:sz w:val="28"/>
          <w:szCs w:val="28"/>
          <w:lang w:val="ru-RU"/>
        </w:rPr>
        <w:t>-</w:t>
      </w:r>
      <w:proofErr w:type="spellStart"/>
      <w:r w:rsidRPr="00174F89">
        <w:rPr>
          <w:rFonts w:cs="Times New Roman"/>
          <w:sz w:val="28"/>
          <w:szCs w:val="28"/>
          <w:lang w:val="ru-RU"/>
        </w:rPr>
        <w:t>ом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году.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При определении объема налоговых поступлений в бюджет поселения </w:t>
      </w:r>
      <w:proofErr w:type="gramStart"/>
      <w:r w:rsidRPr="00174F89">
        <w:rPr>
          <w:rFonts w:cs="Times New Roman"/>
          <w:sz w:val="28"/>
          <w:szCs w:val="28"/>
          <w:lang w:val="ru-RU"/>
        </w:rPr>
        <w:t>от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налогоплательщиков – получателей льгот (налоговых расходов), учитываются поступления по налогу на доходы физических лиц, земельному налогу, налогу на имущество физических лиц. </w:t>
      </w:r>
      <w:proofErr w:type="gramStart"/>
      <w:r w:rsidRPr="00174F89">
        <w:rPr>
          <w:rFonts w:cs="Times New Roman"/>
          <w:sz w:val="28"/>
          <w:szCs w:val="28"/>
          <w:lang w:val="ru-RU"/>
        </w:rPr>
        <w:t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поселения от налогоплательщиков-получателей льготы (расхода) в отчетном году, текущем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году, очередном году и (или) плановом периоде оценивается на основании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показателей социально-экономического развития поселения;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lastRenderedPageBreak/>
        <w:t xml:space="preserve"> </w:t>
      </w:r>
      <w:proofErr w:type="spellStart"/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– базовый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>=</w:t>
      </w:r>
      <w:proofErr w:type="spellStart"/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+ </w:t>
      </w:r>
      <w:proofErr w:type="spellStart"/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>, где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N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– объем налоговых поступлений в бюджет поселения от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-го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налогоплательщика-получателя льготы (расхода) в базовом году;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  <w:vertAlign w:val="subscript"/>
        </w:rPr>
        <w:t>oij</w:t>
      </w:r>
      <w:proofErr w:type="spellEnd"/>
      <w:r w:rsidRPr="00174F89">
        <w:rPr>
          <w:rFonts w:cs="Times New Roman"/>
          <w:sz w:val="28"/>
          <w:szCs w:val="28"/>
          <w:lang w:val="ru-RU"/>
        </w:rPr>
        <w:t>– объем налоговых льгот (налоговых расходов) по виду налога,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полученных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</w:t>
      </w:r>
      <w:proofErr w:type="spellStart"/>
      <w:r w:rsidRPr="00174F89">
        <w:rPr>
          <w:rFonts w:cs="Times New Roman"/>
          <w:sz w:val="28"/>
          <w:szCs w:val="28"/>
          <w:lang w:val="ru-RU"/>
        </w:rPr>
        <w:t>ым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налогоплательщиком-получателем льготы (расхода) в базовом году.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Под базовым годом понимается год, предшествующий году начала применения налоговой льготы (налогового расхода) </w:t>
      </w:r>
      <w:r w:rsidRPr="00C51EB0">
        <w:rPr>
          <w:rFonts w:cs="Times New Roman"/>
          <w:sz w:val="28"/>
          <w:szCs w:val="28"/>
        </w:rPr>
        <w:t>j</w:t>
      </w:r>
      <w:r w:rsidRPr="00174F89">
        <w:rPr>
          <w:rFonts w:cs="Times New Roman"/>
          <w:sz w:val="28"/>
          <w:szCs w:val="28"/>
          <w:lang w:val="ru-RU"/>
        </w:rPr>
        <w:t>-</w:t>
      </w:r>
      <w:proofErr w:type="spellStart"/>
      <w:r w:rsidRPr="00174F89">
        <w:rPr>
          <w:rFonts w:cs="Times New Roman"/>
          <w:sz w:val="28"/>
          <w:szCs w:val="28"/>
          <w:lang w:val="ru-RU"/>
        </w:rPr>
        <w:t>ым</w:t>
      </w:r>
      <w:proofErr w:type="spellEnd"/>
      <w:r w:rsidRPr="00174F89">
        <w:rPr>
          <w:rFonts w:cs="Times New Roman"/>
          <w:sz w:val="28"/>
          <w:szCs w:val="28"/>
          <w:lang w:val="ru-RU"/>
        </w:rPr>
        <w:t xml:space="preserve"> налогоплательщиком-получателем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5.2. Для оценки социальной эффективности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 применяются следующие показатели: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создание новых рабочих мест или сохранение существующих рабочих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мест;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среднемесячной заработной платы работников;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отсутствие задолженности по заработной плате;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улучшение условий труда;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повышение социальной защищенности населения.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Социальная эффективность налоговых льгот (налоговых расходов) в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отношении налогоплательщиков-организаций обеспечивается и признается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удовлетворительной при положительной динамике не менее трех из указанных показателей.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Показателем оценки социального эффекта налоговых льгот (налоговых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расходов), установленных для отдельных категорий физических лиц является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повышение социальной защищенности населения.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5.3. Для оценки экономической эффективности налоговых льгот (налоговых расходов) применяются следующие показатели: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рост объемов производства продукции (работ, услуг) в натуральном и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стоимостном выражении;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расширение ассортимента продукции (работ,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снижение стоимости товаров (предоставляемых услуг);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- приобретение, модернизация и техническое перевооружение основных средств, предназначенных для производства работ (оказания услуг).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Экономическая эффективность налоговых льгот (налоговых расходов) проводится в отношении налогоплательщиков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- организаций и физических лиц, являющихся индивидуальными предпринимателями, и признается удовлетворительной при положительной динамике одного из указанных показателей.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Для оценки социальной и экономической эффективности налоговых льгот</w:t>
      </w:r>
      <w:r w:rsidR="00815346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используются показатели деятельности налогоплательщиков за отчетный финансовый год и год, предшествующий отчетному году.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b/>
          <w:sz w:val="28"/>
          <w:szCs w:val="28"/>
          <w:lang w:val="ru-RU"/>
        </w:rPr>
        <w:t xml:space="preserve">6. Порядок оценки эффективности предоставления налоговых </w:t>
      </w:r>
      <w:r w:rsidRPr="00174F89">
        <w:rPr>
          <w:rFonts w:cs="Times New Roman"/>
          <w:b/>
          <w:sz w:val="28"/>
          <w:szCs w:val="28"/>
          <w:lang w:val="ru-RU"/>
        </w:rPr>
        <w:lastRenderedPageBreak/>
        <w:t>льгот (налоговых расходов) по местным налогам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6.1. Работа по оценке эффективности налоговых льгот (налоговых расходов)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проводится в четыре этапа: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а) на первом этапе производится инвентаризация и составление перечня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предоставленных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на втором этапе производится оценка недополученных доходов бюджета</w:t>
      </w:r>
      <w:r w:rsidR="00622698">
        <w:rPr>
          <w:rFonts w:cs="Times New Roman"/>
          <w:sz w:val="28"/>
          <w:szCs w:val="28"/>
          <w:lang w:val="ru-RU"/>
        </w:rPr>
        <w:t xml:space="preserve"> 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по предоставленным налоговым льготам (налоговым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расходам);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на третьем этапе определяется бюджетная, социальная и экономическая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эффективность по каждому виду предоставленных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на четвертом этапе проводится анализ полученных результатов,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признание эффекта от применения налоговой льготы (налоговых расходов)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удовлетворительным (достаточным) или неудовлетворительным</w:t>
      </w:r>
      <w:r w:rsidR="00622698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(недостаточным), разрабатываются предложения по сохранению, корректировке или отмене налоговых льгот (налоговых расходов) по местным налогам.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6.2. Ответственный сотрудник Администрации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составляет аналитическую записку по результатам оценки налоговых льгот (налоговых расходов) по местным налогам и направляет ее: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174F89">
        <w:rPr>
          <w:rFonts w:cs="Times New Roman"/>
          <w:sz w:val="28"/>
          <w:szCs w:val="28"/>
          <w:lang w:val="ru-RU"/>
        </w:rPr>
        <w:t>а) по налоговым льготам (налоговым расходам) за истекший финансовый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год - главе поселения </w:t>
      </w:r>
      <w:r w:rsidRPr="00174F89">
        <w:rPr>
          <w:rFonts w:cs="Times New Roman"/>
          <w:b/>
          <w:sz w:val="28"/>
          <w:szCs w:val="28"/>
          <w:lang w:val="ru-RU"/>
        </w:rPr>
        <w:t>в срок до 05 сентября года</w:t>
      </w:r>
      <w:r w:rsidRPr="00174F89">
        <w:rPr>
          <w:rFonts w:cs="Times New Roman"/>
          <w:sz w:val="28"/>
          <w:szCs w:val="28"/>
          <w:lang w:val="ru-RU"/>
        </w:rPr>
        <w:t>, следующего за отчетным, а также размещает ее на официальном сайте Администрации поселения.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по планируемым к предоставлению налоговым льготам (налоговых расходов) - </w:t>
      </w:r>
      <w:r w:rsidR="00D1279F">
        <w:rPr>
          <w:rFonts w:cs="Times New Roman"/>
          <w:sz w:val="28"/>
          <w:szCs w:val="28"/>
          <w:lang w:val="ru-RU"/>
        </w:rPr>
        <w:t>Г</w:t>
      </w:r>
      <w:r w:rsidRPr="00174F89">
        <w:rPr>
          <w:rFonts w:cs="Times New Roman"/>
          <w:sz w:val="28"/>
          <w:szCs w:val="28"/>
          <w:lang w:val="ru-RU"/>
        </w:rPr>
        <w:t xml:space="preserve">лаве поселения и в Совет депутатов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течение месяца со дня поступления предложений о предоставлении налоговых льгот (налоговых расходов).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6.3. Аналитическая записка по результатам оценки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налоговых льгот (налоговых расходов) за истекший финансовый год должна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содержать: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174F89">
        <w:rPr>
          <w:rFonts w:cs="Times New Roman"/>
          <w:sz w:val="28"/>
          <w:szCs w:val="28"/>
          <w:lang w:val="ru-RU"/>
        </w:rPr>
        <w:t>а) перечень предоставленных на территории поселения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по форме Приложения к Порядку формирования 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утверждения перечня налоговых льгот (налоговых расходов) по местным налогам;</w:t>
      </w:r>
      <w:proofErr w:type="gramEnd"/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б) информацию о потерях бюджета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по причине предоставления налоговых льгот (налоговых расходов в динамике по годам (не менее 3-х лет) по форме Приложения к настоящему Порядку;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сведения о бюджетной, социальной и экономической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действующих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г) распределение налоговых льгот (налоговых расходов) по группам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полномочий органов местного самоуправления;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74F89">
        <w:rPr>
          <w:rFonts w:cs="Times New Roman"/>
          <w:sz w:val="28"/>
          <w:szCs w:val="28"/>
          <w:lang w:val="ru-RU"/>
        </w:rPr>
        <w:t>д</w:t>
      </w:r>
      <w:proofErr w:type="spellEnd"/>
      <w:r w:rsidRPr="00174F89">
        <w:rPr>
          <w:rFonts w:cs="Times New Roman"/>
          <w:sz w:val="28"/>
          <w:szCs w:val="28"/>
          <w:lang w:val="ru-RU"/>
        </w:rPr>
        <w:t>) предложения по сохранению, корректировке или отмене действующих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налоговых льгот (налоговых расходов) в зависимости от результатов оценки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6.4. Аналитическая записка по результатам оценки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планируемых к предоставлению налоговых льгот (налоговых расходов) должна </w:t>
      </w:r>
      <w:r w:rsidRPr="00174F89">
        <w:rPr>
          <w:rFonts w:cs="Times New Roman"/>
          <w:sz w:val="28"/>
          <w:szCs w:val="28"/>
          <w:lang w:val="ru-RU"/>
        </w:rPr>
        <w:lastRenderedPageBreak/>
        <w:t>содержать: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информацию о прогнозируемых потерях бюджета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="00D1279F" w:rsidRPr="00174F89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сельского поселения в случае принятия решения о предоставлении налоговых льгот (налоговых расходов) в динамике по годам на среднесрочную перспективу (не менее 3-х лет);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сведения о бюджетной, социальной и экономической эффективности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планируемых к предоставлению налоговых льгот (налоговых расходов);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предложения по предоставлению (непредставлению)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 либо по изменению условий предоставления 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 в зависимости от результатов оценки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эффективности.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7. Действия по реализации результатов оценки эффективности 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льгот (налоговых расходов)</w:t>
      </w:r>
      <w:r w:rsidR="00D1279F">
        <w:rPr>
          <w:rFonts w:cs="Times New Roman"/>
          <w:sz w:val="28"/>
          <w:szCs w:val="28"/>
          <w:lang w:val="ru-RU"/>
        </w:rPr>
        <w:t>.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7.1. Результаты оценки эффективности налоговых льгот (налоговых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 xml:space="preserve">расходов) используются </w:t>
      </w:r>
      <w:proofErr w:type="gramStart"/>
      <w:r w:rsidRPr="00174F89">
        <w:rPr>
          <w:rFonts w:cs="Times New Roman"/>
          <w:sz w:val="28"/>
          <w:szCs w:val="28"/>
          <w:lang w:val="ru-RU"/>
        </w:rPr>
        <w:t>для</w:t>
      </w:r>
      <w:proofErr w:type="gramEnd"/>
      <w:r w:rsidRPr="00174F89">
        <w:rPr>
          <w:rFonts w:cs="Times New Roman"/>
          <w:sz w:val="28"/>
          <w:szCs w:val="28"/>
          <w:lang w:val="ru-RU"/>
        </w:rPr>
        <w:t>: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 xml:space="preserve">а) разработки проекта бюджета </w:t>
      </w:r>
      <w:r w:rsidR="00D1279F">
        <w:rPr>
          <w:rFonts w:cs="Times New Roman"/>
          <w:sz w:val="28"/>
          <w:szCs w:val="28"/>
          <w:lang w:val="ru-RU"/>
        </w:rPr>
        <w:t>Трубичинского</w:t>
      </w:r>
      <w:r w:rsidRPr="00174F89">
        <w:rPr>
          <w:rFonts w:cs="Times New Roman"/>
          <w:sz w:val="28"/>
          <w:szCs w:val="28"/>
          <w:lang w:val="ru-RU"/>
        </w:rPr>
        <w:t xml:space="preserve"> сельского поселения на очередной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финансовый год и плановый период;</w:t>
      </w:r>
    </w:p>
    <w:p w:rsidR="00174F89" w:rsidRPr="00174F89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б) своевременного принятия мер по отмене неэффективных налоговых льгот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174F89">
        <w:rPr>
          <w:rFonts w:cs="Times New Roman"/>
          <w:sz w:val="28"/>
          <w:szCs w:val="28"/>
          <w:lang w:val="ru-RU"/>
        </w:rPr>
        <w:t>(налоговых расходов);</w:t>
      </w:r>
    </w:p>
    <w:p w:rsidR="00174F89" w:rsidRPr="00D1279F" w:rsidRDefault="00174F89" w:rsidP="006C5A78">
      <w:pPr>
        <w:ind w:left="426" w:firstLine="1134"/>
        <w:jc w:val="both"/>
        <w:rPr>
          <w:rFonts w:cs="Times New Roman"/>
          <w:sz w:val="28"/>
          <w:szCs w:val="28"/>
          <w:lang w:val="ru-RU"/>
        </w:rPr>
      </w:pPr>
      <w:r w:rsidRPr="00174F89">
        <w:rPr>
          <w:rFonts w:cs="Times New Roman"/>
          <w:sz w:val="28"/>
          <w:szCs w:val="28"/>
          <w:lang w:val="ru-RU"/>
        </w:rPr>
        <w:t>в) разработки предложений по совершенствованию мер поддержки</w:t>
      </w:r>
      <w:r w:rsidR="00D1279F">
        <w:rPr>
          <w:rFonts w:cs="Times New Roman"/>
          <w:sz w:val="28"/>
          <w:szCs w:val="28"/>
          <w:lang w:val="ru-RU"/>
        </w:rPr>
        <w:t xml:space="preserve"> </w:t>
      </w:r>
      <w:r w:rsidRPr="00D1279F">
        <w:rPr>
          <w:rFonts w:cs="Times New Roman"/>
          <w:sz w:val="28"/>
          <w:szCs w:val="28"/>
          <w:lang w:val="ru-RU"/>
        </w:rPr>
        <w:t>отдельных категорий налогоплательщиков.</w:t>
      </w:r>
    </w:p>
    <w:p w:rsidR="00174F89" w:rsidRDefault="00174F89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sectPr w:rsidR="00174F89" w:rsidSect="00174F89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1C" w:rsidRDefault="00A9331C" w:rsidP="001A22C1">
      <w:r>
        <w:separator/>
      </w:r>
    </w:p>
  </w:endnote>
  <w:endnote w:type="continuationSeparator" w:id="0">
    <w:p w:rsidR="00A9331C" w:rsidRDefault="00A9331C" w:rsidP="001A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1C" w:rsidRDefault="00A9331C" w:rsidP="001A22C1">
      <w:r>
        <w:separator/>
      </w:r>
    </w:p>
  </w:footnote>
  <w:footnote w:type="continuationSeparator" w:id="0">
    <w:p w:rsidR="00A9331C" w:rsidRDefault="00A9331C" w:rsidP="001A2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/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24C65"/>
    <w:rsid w:val="00037603"/>
    <w:rsid w:val="000376E4"/>
    <w:rsid w:val="000379A7"/>
    <w:rsid w:val="00037BBF"/>
    <w:rsid w:val="00046763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FE5"/>
    <w:rsid w:val="001240DE"/>
    <w:rsid w:val="001250B6"/>
    <w:rsid w:val="0013095F"/>
    <w:rsid w:val="00144D8E"/>
    <w:rsid w:val="001516F2"/>
    <w:rsid w:val="0015245E"/>
    <w:rsid w:val="001624E1"/>
    <w:rsid w:val="00171257"/>
    <w:rsid w:val="001728D9"/>
    <w:rsid w:val="00174BF7"/>
    <w:rsid w:val="00174F89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46FF"/>
    <w:rsid w:val="00237B64"/>
    <w:rsid w:val="0024105E"/>
    <w:rsid w:val="00244448"/>
    <w:rsid w:val="00244BFE"/>
    <w:rsid w:val="002525C2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2492"/>
    <w:rsid w:val="00334537"/>
    <w:rsid w:val="00337362"/>
    <w:rsid w:val="003446CE"/>
    <w:rsid w:val="0035636A"/>
    <w:rsid w:val="00356A14"/>
    <w:rsid w:val="003639DD"/>
    <w:rsid w:val="003714CF"/>
    <w:rsid w:val="003753B1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6252"/>
    <w:rsid w:val="00510209"/>
    <w:rsid w:val="005146B8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6CC8"/>
    <w:rsid w:val="005D0AF8"/>
    <w:rsid w:val="005D217E"/>
    <w:rsid w:val="005D2F7F"/>
    <w:rsid w:val="005E283F"/>
    <w:rsid w:val="005F6013"/>
    <w:rsid w:val="00607F2F"/>
    <w:rsid w:val="00622698"/>
    <w:rsid w:val="006251D5"/>
    <w:rsid w:val="006276C6"/>
    <w:rsid w:val="00640DC6"/>
    <w:rsid w:val="00646C59"/>
    <w:rsid w:val="00647AAE"/>
    <w:rsid w:val="00653F3B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C5A78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15346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14"/>
    <w:rsid w:val="009472A0"/>
    <w:rsid w:val="00950802"/>
    <w:rsid w:val="00951507"/>
    <w:rsid w:val="00953BB2"/>
    <w:rsid w:val="00963784"/>
    <w:rsid w:val="00966A01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E00F0"/>
    <w:rsid w:val="009F1022"/>
    <w:rsid w:val="009F78F8"/>
    <w:rsid w:val="00A02B9C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4160"/>
    <w:rsid w:val="00A9162F"/>
    <w:rsid w:val="00A9281B"/>
    <w:rsid w:val="00A9331C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4084F"/>
    <w:rsid w:val="00C5039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279F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668B5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EA05-2E55-41F6-9B5C-78C08A95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11</Pages>
  <Words>2927</Words>
  <Characters>23161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2020-01-23T10:36:00Z</cp:lastPrinted>
  <dcterms:created xsi:type="dcterms:W3CDTF">2013-11-12T10:53:00Z</dcterms:created>
  <dcterms:modified xsi:type="dcterms:W3CDTF">2020-01-28T07:22:00Z</dcterms:modified>
</cp:coreProperties>
</file>